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48a54" w:val="clear"/>
        <w:spacing w:after="0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1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Local Food &amp; Beverage Service Sustainability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545"/>
        <w:tblGridChange w:id="0">
          <w:tblGrid>
            <w:gridCol w:w="2340"/>
            <w:gridCol w:w="7545"/>
          </w:tblGrid>
        </w:tblGridChange>
      </w:tblGrid>
      <w:tr>
        <w:trPr>
          <w:tblHeader w:val="0"/>
        </w:trPr>
        <w:tc>
          <w:tcPr>
            <w:shd w:fill="c4bc9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package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34.99999999999999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6750"/>
        <w:gridCol w:w="958"/>
        <w:gridCol w:w="767"/>
        <w:gridCol w:w="792"/>
        <w:gridCol w:w="633"/>
        <w:tblGridChange w:id="0">
          <w:tblGrid>
            <w:gridCol w:w="6750"/>
            <w:gridCol w:w="958"/>
            <w:gridCol w:w="767"/>
            <w:gridCol w:w="792"/>
            <w:gridCol w:w="633"/>
          </w:tblGrid>
        </w:tblGridChange>
      </w:tblGrid>
      <w:tr>
        <w:trPr>
          <w:trHeight w:val="400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FOOD &amp; BEVERAGE SERVICE SUSTAINABILITY ASSESSMENT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(Assessment for all the local food &amp; beverage service providers included in the package)</w:t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of Indicators and criteria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the ASEAN Community Based Tourism Standard</w:t>
            </w:r>
          </w:p>
        </w:tc>
        <w:tc>
          <w:tcPr>
            <w:gridSpan w:val="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Answers of applicant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 point / question)</w:t>
            </w:r>
          </w:p>
        </w:tc>
        <w:tc>
          <w:tcPr>
            <w:gridSpan w:val="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00000" w:val="clear"/>
            <w:tcMar>
              <w:left w:w="9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Verification of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ASTA Assessors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Minimum requirements for ensuring a good quality of F&amp;B service providers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1.Food and beverage providers possess or can demonstrate commitment to hygienic food preparation and service techniques. (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assessors can ask the kitchen staff how they proceed upon arrival)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Food and beverage providers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maximum use of natural biodegradable packages when serving and packaging food (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assessors can ask to see how is the packaging for “take-away”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Food and beverage providers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 treated or boiled water is available for use in food preparation (e.g. washing raw salad vegetables) and cleaning.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0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Food and beverage providers ensure clean water and soap are available in food preparation areas.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Toilet(s), shower tray(s), bath tub (s), well and sinks shall be regularly cleaned and kept free from dirt, stains and malodour.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Disinfectants shall be used to keep toilets clean and free from germs.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Soap, toilet tissue and clean towel shall be provided by the F&amp;B provider.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Minimum requirements for a quality management of F&amp;B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Menus are available with associated prices (if appropriate).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Menus vary daily and include at least one traditional meal at each dining period.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Maximum use is made of fresh, organically grown food and local ingredients, including fresh meat and vegetables, but no bush meats prohibited by law.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Guests shall only be served safe drinking water.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Dessert and/or fruit forms part of each meal.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Food preparation and dining utensils are cleaned thoroughly before use (i.e. cleaned immediately after dining periods).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Food is stored in clean containers, which are kept in good order.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Animals (domestic and pest) are kept out of food storage, cooking and dining areas. </w:t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exchange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Food and beverage providers ensure opportunities exist for tourists to participate in my cooking activities and learn traditional cooking techniques.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Food and beverage providers encourage visitors to share recipes and cooking techniques with me.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Sustainability principles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 Food and beverage providers shall recruit and employ staff from the local community.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 Food and beverage providers should allocate the provision of incentives and bonuses linked to good performance and/or service levels to motivate staff.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Food and beverage providers shall set up an information corner and cultural displays.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 Ensure that the design and construction and services of F&amp;B areas and buildings are environmentally friendly. (Assessors should check the discharge of sewage and grey water not to be directly in rivers, lakes or else)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The surrounding compound shall be litter free.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points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Maximum points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Rural package minimum points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Urban package minimum points</w:t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the service providers respond to the ASTA Local Food and Beverage sustainability criteria ? (Answer by YES or 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360"/>
        <w:gridCol w:w="6720"/>
        <w:tblGridChange w:id="0">
          <w:tblGrid>
            <w:gridCol w:w="3360"/>
            <w:gridCol w:w="6720"/>
          </w:tblGrid>
        </w:tblGridChange>
      </w:tblGrid>
      <w:tr>
        <w:trPr>
          <w:trHeight w:val="360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tcMar>
              <w:left w:w="48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ASSESSOR COMMENTS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5" w:hRule="atLeast"/>
          <w:tblHeader w:val="0"/>
        </w:trPr>
        <w:tc>
          <w:tcPr>
            <w:tcBorders>
              <w:top w:color="ffffff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left w:w="4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 service providers do not fully comply with the sustainability criteria, what should be improved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48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aramo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ASTA - Local Food &amp; Beverage Assessment Form</w:t>
    </w:r>
  </w:p>
  <w:p w:rsidR="00000000" w:rsidDel="00000000" w:rsidP="00000000" w:rsidRDefault="00000000" w:rsidRPr="00000000" w14:paraId="000000C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2790230" cy="5191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0230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360"/>
      <w:jc w:val="both"/>
    </w:pPr>
    <w:rPr>
      <w:rFonts w:ascii="Garamond" w:cs="Garamond" w:eastAsia="Garamond" w:hAnsi="Garamond"/>
      <w:b w:val="1"/>
      <w:i w:val="0"/>
      <w:smallCaps w:val="0"/>
      <w:strike w:val="0"/>
      <w:color w:val="948a54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92" w:right="0" w:hanging="432"/>
      <w:jc w:val="left"/>
    </w:pPr>
    <w:rPr>
      <w:rFonts w:ascii="Garamond" w:cs="Garamond" w:eastAsia="Garamond" w:hAnsi="Garamond"/>
      <w:b w:val="1"/>
      <w:i w:val="0"/>
      <w:smallCaps w:val="0"/>
      <w:strike w:val="0"/>
      <w:color w:val="948a54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aramond" w:cs="Garamond" w:eastAsia="Garamond" w:hAnsi="Garamond"/>
      <w:b w:val="1"/>
      <w:i w:val="0"/>
      <w:smallCaps w:val="0"/>
      <w:strike w:val="0"/>
      <w:color w:val="6f6633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itre1">
    <w:name w:val="heading 1"/>
    <w:basedOn w:val="normal0"/>
    <w:next w:val="normal0"/>
    <w:pPr>
      <w:keepNext w:val="1"/>
      <w:ind w:left="720" w:hanging="360"/>
      <w:jc w:val="both"/>
      <w:outlineLvl w:val="0"/>
    </w:pPr>
    <w:rPr>
      <w:rFonts w:ascii="Garamond" w:cs="Garamond" w:eastAsia="Garamond" w:hAnsi="Garamond"/>
      <w:b w:val="1"/>
      <w:color w:val="948a54"/>
      <w:sz w:val="32"/>
      <w:szCs w:val="32"/>
    </w:rPr>
  </w:style>
  <w:style w:type="paragraph" w:styleId="Titre2">
    <w:name w:val="heading 2"/>
    <w:basedOn w:val="normal0"/>
    <w:next w:val="normal0"/>
    <w:pPr>
      <w:keepNext w:val="1"/>
      <w:ind w:left="792" w:hanging="432"/>
      <w:outlineLvl w:val="1"/>
    </w:pPr>
    <w:rPr>
      <w:rFonts w:ascii="Garamond" w:cs="Garamond" w:eastAsia="Garamond" w:hAnsi="Garamond"/>
      <w:b w:val="1"/>
      <w:color w:val="948a54"/>
      <w:u w:val="single"/>
    </w:rPr>
  </w:style>
  <w:style w:type="paragraph" w:styleId="Titre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rFonts w:ascii="Garamond" w:cs="Garamond" w:eastAsia="Garamond" w:hAnsi="Garamond"/>
      <w:b w:val="1"/>
      <w:color w:val="6f6633"/>
    </w:rPr>
  </w:style>
  <w:style w:type="paragraph" w:styleId="Titre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214FB6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214FB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 w:val="1"/>
    <w:rsid w:val="00214FB6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214FB6"/>
  </w:style>
  <w:style w:type="paragraph" w:styleId="Pieddepage">
    <w:name w:val="footer"/>
    <w:basedOn w:val="Normal"/>
    <w:link w:val="PieddepageCar"/>
    <w:uiPriority w:val="99"/>
    <w:unhideWhenUsed w:val="1"/>
    <w:rsid w:val="00214FB6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214FB6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6mztWMLhTVuP1evko3Kh1mZJQ==">AMUW2mW9nksu0dey5WKHbn40I5kbjBVdunAuQJFpuNnXm4Nt7mpqbCqPHMwvtbRyANvzxpaqyULCEsIPazv0AMTFZxrm0ExsYE4UsYBR3m0cWAMlTXQxJqHGQb8dck8k68rEgEk8j3Bk6ZVmw5oDhl/PCwloPCbbjw==</go:docsCustomData>
</go:gDocsCustomXmlDataStorage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cf10e32-4f10-471b-9dc0-273480a17fce">R2WKNRE2VRMU-934185346-645</_dlc_DocId>
    <_dlc_DocIdUrl xmlns="2cf10e32-4f10-471b-9dc0-273480a17fce">
      <Url>http://tourism.gov.bn/_layouts/15/DocIdRedir.aspx?ID=R2WKNRE2VRMU-934185346-645</Url>
      <Description>R2WKNRE2VRMU-934185346-645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f044529309f2b7b34e78dd42575a75d">
  <xsd:schema xmlns:xsd="http://www.w3.org/2001/XMLSchema" xmlns:xs="http://www.w3.org/2001/XMLSchema" xmlns:p="http://schemas.microsoft.com/office/2006/metadata/properties" xmlns:ns1="http://schemas.microsoft.com/sharepoint/v3" xmlns:ns2="2cf10e32-4f10-471b-9dc0-273480a17fce" targetNamespace="http://schemas.microsoft.com/office/2006/metadata/properties" ma:root="true" ma:fieldsID="0f0c8ae39b66d8cf9e1d144fa770ffdb" ns1:_="" ns2:_="">
    <xsd:import namespace="http://schemas.microsoft.com/sharepoint/v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9B37B32-1C7E-4E1A-8ABB-98EF37185037}"/>
</file>

<file path=customXML/itemProps3.xml><?xml version="1.0" encoding="utf-8"?>
<ds:datastoreItem xmlns:ds="http://schemas.openxmlformats.org/officeDocument/2006/customXml" ds:itemID="{B59458B1-5759-44AC-8AF5-E4B6BCB8518A}"/>
</file>

<file path=customXML/itemProps4.xml><?xml version="1.0" encoding="utf-8"?>
<ds:datastoreItem xmlns:ds="http://schemas.openxmlformats.org/officeDocument/2006/customXml" ds:itemID="{FF05DFC5-0480-4E62-A9E2-6A88ECCB8294}"/>
</file>

<file path=customXML/itemProps5.xml><?xml version="1.0" encoding="utf-8"?>
<ds:datastoreItem xmlns:ds="http://schemas.openxmlformats.org/officeDocument/2006/customXml" ds:itemID="{0CF46634-6DE8-47AD-B955-988ED39BD1C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2021-07-19T14:23:00Z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  <property fmtid="{D5CDD505-2E9C-101B-9397-08002B2CF9AE}" pid="3" name="_dlc_DocIdItemGuid">
    <vt:lpwstr>1f5aa9dc-2092-4cd8-a99f-bdb41794870d</vt:lpwstr>
  </property>
</Properties>
</file>