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F1443" w14:textId="77777777" w:rsidR="004F4BE0" w:rsidRPr="003917A3" w:rsidRDefault="003917A3" w:rsidP="003917A3">
      <w:pPr>
        <w:pStyle w:val="normal0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8A54"/>
        <w:ind w:left="360"/>
        <w:jc w:val="center"/>
        <w:rPr>
          <w:rFonts w:ascii="Garamond" w:eastAsia="Garamond" w:hAnsi="Garamond" w:cs="Garamond"/>
          <w:smallCaps/>
          <w:color w:val="FFFFFF" w:themeColor="background1"/>
          <w:sz w:val="20"/>
          <w:szCs w:val="20"/>
        </w:rPr>
      </w:pPr>
      <w:bookmarkStart w:id="0" w:name="_30j0zll" w:colFirst="0" w:colLast="0"/>
      <w:bookmarkEnd w:id="0"/>
      <w:r w:rsidRPr="003917A3">
        <w:rPr>
          <w:rFonts w:ascii="Garamond" w:eastAsia="Garamond" w:hAnsi="Garamond" w:cs="Garamond"/>
          <w:b/>
          <w:smallCaps/>
          <w:color w:val="FFFFFF" w:themeColor="background1"/>
          <w:sz w:val="28"/>
          <w:szCs w:val="28"/>
        </w:rPr>
        <w:t>Local Guide &amp; Tour Operator Assessment Form</w:t>
      </w:r>
    </w:p>
    <w:p w14:paraId="2E293C90" w14:textId="77777777" w:rsidR="004F4BE0" w:rsidRDefault="004F4BE0">
      <w:pPr>
        <w:pStyle w:val="normal0"/>
        <w:widowControl/>
        <w:jc w:val="both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7F051B34" w14:textId="77777777" w:rsidR="004F4BE0" w:rsidRDefault="004F4BE0">
      <w:pPr>
        <w:pStyle w:val="normal0"/>
        <w:widowControl/>
        <w:jc w:val="center"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p w14:paraId="01F19141" w14:textId="77777777" w:rsidR="004F4BE0" w:rsidRDefault="004F4BE0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"/>
        <w:tblW w:w="98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545"/>
      </w:tblGrid>
      <w:tr w:rsidR="004F4BE0" w14:paraId="2B29870A" w14:textId="77777777">
        <w:tc>
          <w:tcPr>
            <w:tcW w:w="2340" w:type="dxa"/>
            <w:shd w:val="clear" w:color="auto" w:fill="C4BC9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2BBA" w14:textId="77777777" w:rsidR="004F4BE0" w:rsidRDefault="003917A3">
            <w:pPr>
              <w:pStyle w:val="normal0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Name of the package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527E" w14:textId="77777777" w:rsidR="004F4BE0" w:rsidRDefault="004F4BE0">
            <w:pPr>
              <w:pStyle w:val="normal0"/>
              <w:rPr>
                <w:rFonts w:ascii="Garamond" w:eastAsia="Garamond" w:hAnsi="Garamond" w:cs="Garamond"/>
                <w:b/>
                <w:color w:val="00000A"/>
                <w:sz w:val="30"/>
                <w:szCs w:val="30"/>
              </w:rPr>
            </w:pPr>
          </w:p>
        </w:tc>
      </w:tr>
    </w:tbl>
    <w:p w14:paraId="732E473F" w14:textId="77777777" w:rsidR="004F4BE0" w:rsidRDefault="004F4BE0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p w14:paraId="51703A11" w14:textId="77777777" w:rsidR="004F4BE0" w:rsidRDefault="004F4BE0">
      <w:pPr>
        <w:pStyle w:val="normal0"/>
        <w:widowControl/>
        <w:jc w:val="center"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p w14:paraId="59707385" w14:textId="77777777" w:rsidR="004F4BE0" w:rsidRDefault="004F4BE0">
      <w:pPr>
        <w:pStyle w:val="normal0"/>
        <w:widowControl/>
        <w:jc w:val="center"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0"/>
        <w:tblW w:w="9900" w:type="dxa"/>
        <w:tblInd w:w="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750"/>
        <w:gridCol w:w="975"/>
        <w:gridCol w:w="630"/>
        <w:gridCol w:w="795"/>
      </w:tblGrid>
      <w:tr w:rsidR="004F4BE0" w14:paraId="488BE783" w14:textId="77777777">
        <w:trPr>
          <w:trHeight w:val="400"/>
        </w:trPr>
        <w:tc>
          <w:tcPr>
            <w:tcW w:w="99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4A0C8AE2" w14:textId="77777777" w:rsidR="004F4BE0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LOCAL GUIDE &amp; TOUR OPERATOR SUSTAINABILITY ASSESSMENT</w:t>
            </w:r>
          </w:p>
          <w:p w14:paraId="5E38EA93" w14:textId="77777777" w:rsidR="004F4BE0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u w:val="single"/>
              </w:rPr>
            </w:pPr>
            <w:r>
              <w:rPr>
                <w:rFonts w:ascii="Garamond" w:eastAsia="Garamond" w:hAnsi="Garamond" w:cs="Garamond"/>
                <w:b/>
                <w:u w:val="single"/>
              </w:rPr>
              <w:t>(Assessment for all the local guides and tour operators included in the package)</w:t>
            </w:r>
          </w:p>
        </w:tc>
      </w:tr>
      <w:tr w:rsidR="003917A3" w14:paraId="3C0A53FB" w14:textId="77777777" w:rsidTr="007001CD">
        <w:trPr>
          <w:trHeight w:val="400"/>
        </w:trPr>
        <w:tc>
          <w:tcPr>
            <w:tcW w:w="675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3A3D6BD3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Description of Indicators and criteria</w:t>
            </w:r>
          </w:p>
          <w:p w14:paraId="615E5252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from the ASEAN Community Based Tourism Standard</w:t>
            </w:r>
          </w:p>
        </w:tc>
        <w:tc>
          <w:tcPr>
            <w:tcW w:w="17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7A88F75E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Answers of applicant</w:t>
            </w:r>
          </w:p>
          <w:p w14:paraId="7386BA58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(1 point / question)</w:t>
            </w:r>
          </w:p>
        </w:tc>
        <w:tc>
          <w:tcPr>
            <w:tcW w:w="14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98" w:type="dxa"/>
            </w:tcMar>
          </w:tcPr>
          <w:p w14:paraId="12A7C313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>Verification of</w:t>
            </w:r>
          </w:p>
          <w:p w14:paraId="48F3622E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Garamond" w:eastAsia="Garamond" w:hAnsi="Garamond" w:cs="Garamond"/>
                <w:b/>
                <w:color w:val="FFFFFF"/>
              </w:rPr>
              <w:t xml:space="preserve">ASTA Assessors </w:t>
            </w:r>
          </w:p>
        </w:tc>
      </w:tr>
      <w:tr w:rsidR="003917A3" w14:paraId="7A177497" w14:textId="77777777" w:rsidTr="007001CD">
        <w:trPr>
          <w:trHeight w:val="400"/>
        </w:trPr>
        <w:tc>
          <w:tcPr>
            <w:tcW w:w="67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34492C8" w14:textId="77777777" w:rsidR="003917A3" w:rsidRDefault="003917A3">
            <w:pPr>
              <w:pStyle w:val="normal0"/>
              <w:spacing w:before="60" w:after="60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7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28BFF141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YES</w:t>
            </w: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669701FC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NO</w:t>
            </w:r>
          </w:p>
        </w:tc>
        <w:tc>
          <w:tcPr>
            <w:tcW w:w="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4A34034D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YES</w:t>
            </w:r>
          </w:p>
        </w:tc>
        <w:tc>
          <w:tcPr>
            <w:tcW w:w="7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8" w:type="dxa"/>
            </w:tcMar>
            <w:vAlign w:val="center"/>
          </w:tcPr>
          <w:p w14:paraId="486F8A3F" w14:textId="77777777" w:rsidR="003917A3" w:rsidRDefault="003917A3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  <w:color w:val="6D6532"/>
              </w:rPr>
            </w:pPr>
            <w:r>
              <w:rPr>
                <w:rFonts w:ascii="Garamond" w:eastAsia="Garamond" w:hAnsi="Garamond" w:cs="Garamond"/>
                <w:b/>
                <w:color w:val="6D6532"/>
              </w:rPr>
              <w:t>NO</w:t>
            </w:r>
          </w:p>
        </w:tc>
      </w:tr>
      <w:tr w:rsidR="004F4BE0" w14:paraId="35317078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0E0BFA9" w14:textId="77777777" w:rsidR="004F4BE0" w:rsidRDefault="003917A3">
            <w:pPr>
              <w:pStyle w:val="normal0"/>
              <w:spacing w:line="276" w:lineRule="auto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for ensuring local guide quality and expertise</w:t>
            </w:r>
          </w:p>
        </w:tc>
        <w:tc>
          <w:tcPr>
            <w:tcW w:w="31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925AB81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color w:val="00000A"/>
              </w:rPr>
            </w:pPr>
          </w:p>
        </w:tc>
      </w:tr>
      <w:tr w:rsidR="004F4BE0" w14:paraId="194C6967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4B48821" w14:textId="77777777" w:rsidR="004F4BE0" w:rsidRDefault="003917A3" w:rsidP="003917A3">
            <w:pPr>
              <w:pStyle w:val="normal0"/>
              <w:spacing w:line="276" w:lineRule="auto"/>
              <w:ind w:right="176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1. </w:t>
            </w:r>
            <w:r>
              <w:rPr>
                <w:rFonts w:ascii="Garamond" w:eastAsia="Garamond" w:hAnsi="Garamond" w:cs="Garamond"/>
              </w:rPr>
              <w:t xml:space="preserve">Local community guides are recruited based on appropriate levels of knowledge, physical health and fitness for proposed guided activities.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CD74057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8CC2817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B2AD611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563309B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1B78D8E5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37445A6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2. Local guides possess or can demonstrate commitment to developing sound knowledge of the local environment and culture; including history, cultural traditions, geography, flora and fauna and cultural/heritage sites, and sustainable tourism principles. (</w:t>
            </w:r>
            <w:r>
              <w:rPr>
                <w:rFonts w:ascii="Garamond" w:eastAsia="Garamond" w:hAnsi="Garamond" w:cs="Garamond"/>
                <w:i/>
              </w:rPr>
              <w:t>A</w:t>
            </w:r>
            <w:r>
              <w:rPr>
                <w:rFonts w:ascii="Garamond" w:eastAsia="Garamond" w:hAnsi="Garamond" w:cs="Garamond"/>
                <w:i/>
              </w:rPr>
              <w:t>ssessors must request for local guides to introduce the package)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EA0B1BE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CFA7F5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A6B24FD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B76E695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4F4BE0" w14:paraId="18DEE1FE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62578ED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3. Local guides facilitate environmentally, socially and culturally relevant and sensitive experiences for visitors that are protective of natural and cultural resources and values. (</w:t>
            </w:r>
            <w:r>
              <w:rPr>
                <w:rFonts w:ascii="Garamond" w:eastAsia="Garamond" w:hAnsi="Garamond" w:cs="Garamond"/>
                <w:i/>
              </w:rPr>
              <w:t>Assessors can request for local guides to give examples</w:t>
            </w:r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69CC442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721FF9B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E5798CD" w14:textId="77777777" w:rsidR="004F4BE0" w:rsidRDefault="004F4BE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18DD2DA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6F41E117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909D39" w14:textId="77777777" w:rsidR="004F4BE0" w:rsidRDefault="003917A3" w:rsidP="003917A3">
            <w:pPr>
              <w:pStyle w:val="normal0"/>
              <w:tabs>
                <w:tab w:val="left" w:pos="220"/>
                <w:tab w:val="left" w:pos="570"/>
              </w:tabs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4. Local guides have access to on-going capacity building and training opportunities to increase their skills and knowledge. (</w:t>
            </w:r>
            <w:r>
              <w:rPr>
                <w:rFonts w:ascii="Garamond" w:eastAsia="Garamond" w:hAnsi="Garamond" w:cs="Garamond"/>
                <w:i/>
              </w:rPr>
              <w:t>Assessors can ask the TO about the existence of training opportunities for local guides)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BEC6646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71C9214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E1CCC7A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1DD3B8A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039EDB00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D6525E4" w14:textId="77777777" w:rsidR="004F4BE0" w:rsidRDefault="003917A3">
            <w:pPr>
              <w:pStyle w:val="normal0"/>
              <w:spacing w:line="276" w:lineRule="auto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 xml:space="preserve">Minimum commitment to ASEAN CBT Standards and regulations </w:t>
            </w:r>
          </w:p>
        </w:tc>
        <w:tc>
          <w:tcPr>
            <w:tcW w:w="31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C6B8374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58A44E4A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0444B06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5. Local guides commit to on-going learning and improving their communication skills, particularly in the area of interpretive guiding. (</w:t>
            </w:r>
            <w:r>
              <w:rPr>
                <w:rFonts w:ascii="Garamond" w:eastAsia="Garamond" w:hAnsi="Garamond" w:cs="Garamond"/>
                <w:i/>
              </w:rPr>
              <w:t>Assessors can ask the list of training followed by local guides)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6FEC53F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6E1F834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5FB9D7D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0D57989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4B4AEC69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5C5EB3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6. Local guides adopt ethical and visitor friendly practices, and take pride in representing their community. (</w:t>
            </w:r>
            <w:r>
              <w:rPr>
                <w:rFonts w:ascii="Garamond" w:eastAsia="Garamond" w:hAnsi="Garamond" w:cs="Garamond"/>
                <w:i/>
              </w:rPr>
              <w:t>Assessors can check online and/or ask community members)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CA9CF7F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98A0624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F1A6618" w14:textId="77777777" w:rsidR="004F4BE0" w:rsidRDefault="004F4BE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2CBB0D0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4E519CC5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45C519D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 xml:space="preserve">7. Local guides contribute to the protection and presentation of their community’s natural and cultural assets and traditions by providing cultural and natural environment awareness raising and education </w:t>
            </w:r>
            <w:r>
              <w:rPr>
                <w:rFonts w:ascii="Garamond" w:eastAsia="Garamond" w:hAnsi="Garamond" w:cs="Garamond"/>
              </w:rPr>
              <w:lastRenderedPageBreak/>
              <w:t>activities for visitors and the host community. (</w:t>
            </w:r>
            <w:r>
              <w:rPr>
                <w:rFonts w:ascii="Garamond" w:eastAsia="Garamond" w:hAnsi="Garamond" w:cs="Garamond"/>
                <w:i/>
              </w:rPr>
              <w:t>Ass</w:t>
            </w:r>
            <w:r>
              <w:rPr>
                <w:rFonts w:ascii="Garamond" w:eastAsia="Garamond" w:hAnsi="Garamond" w:cs="Garamond"/>
                <w:i/>
              </w:rPr>
              <w:t>essors can ask local guides to provide examples)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4B3A2D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A7BE647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E3E2482" w14:textId="77777777" w:rsidR="004F4BE0" w:rsidRDefault="004F4BE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10B6C97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1EACCA30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BF80916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lastRenderedPageBreak/>
              <w:t>8. Local guides follow all CBT approved policies and codes of conduct regarding safety and security of visitors. (</w:t>
            </w:r>
            <w:r>
              <w:rPr>
                <w:rFonts w:ascii="Garamond" w:eastAsia="Garamond" w:hAnsi="Garamond" w:cs="Garamond"/>
                <w:i/>
              </w:rPr>
              <w:t>Assessors can ask local guides to show potential issues of safety and security and how they cope with)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5814A76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C1276EC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B68FE58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5F2622A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61F4F86A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D5609D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9. Local guides provide a quality service and conforming to any standards developed by ASEAN for the purposes of improving the quality of guiding services. (</w:t>
            </w:r>
            <w:r>
              <w:rPr>
                <w:rFonts w:ascii="Garamond" w:eastAsia="Garamond" w:hAnsi="Garamond" w:cs="Garamond"/>
                <w:i/>
              </w:rPr>
              <w:t>Assessors can verify on travel forum online)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5E84452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A91DD18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8DBE3B8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6BBE961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3917A3" w14:paraId="1574899E" w14:textId="77777777" w:rsidTr="00275045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DEAF3F8" w14:textId="77777777" w:rsidR="003917A3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Minimum requirements for a management of tours and activities that ensure quality</w:t>
            </w:r>
          </w:p>
        </w:tc>
        <w:tc>
          <w:tcPr>
            <w:tcW w:w="31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99E356F" w14:textId="77777777" w:rsidR="003917A3" w:rsidRDefault="003917A3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14FC1707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D01EE8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10.Tours/activities operate within the objectives, guidelines, regulations and codes of conduct of the CBT initiative. (</w:t>
            </w:r>
            <w:r>
              <w:rPr>
                <w:rFonts w:ascii="Garamond" w:eastAsia="Garamond" w:hAnsi="Garamond" w:cs="Garamond"/>
                <w:i/>
              </w:rPr>
              <w:t>Assessors can check if the TO has signed  CBT CoC</w:t>
            </w:r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53E8012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9C431EA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6BBD61D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F121D55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676B6F2A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60C3685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11.Tours/activities ensure visitors, at all times, observe CBT approved guidelines for interacting with the culture, natural environment and people of the community. (</w:t>
            </w:r>
            <w:r>
              <w:rPr>
                <w:rFonts w:ascii="Garamond" w:eastAsia="Garamond" w:hAnsi="Garamond" w:cs="Garamond"/>
                <w:i/>
              </w:rPr>
              <w:t>Assessors can verify on travel forum online and ask community members not directly involved in the package)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945107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DF542AB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50BA51D" w14:textId="77777777" w:rsidR="004F4BE0" w:rsidRDefault="004F4BE0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ACA2146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BE0" w14:paraId="6885503F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949E76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12.Tours/activities have a clearly defined: • itinerary and associated price; and • documented booking system. (</w:t>
            </w:r>
            <w:r>
              <w:rPr>
                <w:rFonts w:ascii="Garamond" w:eastAsia="Garamond" w:hAnsi="Garamond" w:cs="Garamond"/>
                <w:i/>
              </w:rPr>
              <w:t>Assessors can ask for leaflets or the existence of boards</w:t>
            </w:r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38FE68B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28C1585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32283E8" w14:textId="77777777" w:rsidR="004F4BE0" w:rsidRDefault="004F4BE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E2B2709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6E23864B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D6461C4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13. Tours/activities record the visitors on tours, including departure and return times. (</w:t>
            </w:r>
            <w:r>
              <w:rPr>
                <w:rFonts w:ascii="Garamond" w:eastAsia="Garamond" w:hAnsi="Garamond" w:cs="Garamond"/>
                <w:i/>
              </w:rPr>
              <w:t>Assessors can ask for the book of record</w:t>
            </w:r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F079715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13BFCA3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557C45E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3152B1B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4F4BE0" w14:paraId="0F185FDC" w14:textId="77777777">
        <w:trPr>
          <w:trHeight w:val="16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3E3E321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 xml:space="preserve">14. </w:t>
            </w:r>
            <w:r>
              <w:rPr>
                <w:rFonts w:ascii="Garamond" w:eastAsia="Garamond" w:hAnsi="Garamond" w:cs="Garamond"/>
              </w:rPr>
              <w:t>Visitors are informed of the tour itinerary, level of difficulty, possible hazards, safety precautions and regulations or rules that apply to their conduct on the tour. (</w:t>
            </w:r>
            <w:r>
              <w:rPr>
                <w:rFonts w:ascii="Garamond" w:eastAsia="Garamond" w:hAnsi="Garamond" w:cs="Garamond"/>
                <w:i/>
              </w:rPr>
              <w:t>Assessors can verify on travel forum online and check the communication materials</w:t>
            </w:r>
            <w:r>
              <w:rPr>
                <w:rFonts w:ascii="Garamond" w:eastAsia="Garamond" w:hAnsi="Garamond" w:cs="Garamond"/>
              </w:rPr>
              <w:t>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88D5AC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1E1674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F44E656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1456AA0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15BEDE8E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5222568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15. A quality control and improvement system exists, including a system for visitor feedback on the tour/activity experience, and visitors are actively encouraged to participate in the feedback process.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A01E03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504A615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E643B57" w14:textId="77777777" w:rsidR="004F4BE0" w:rsidRDefault="004F4BE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6452590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0B6381D2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566CADE0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</w:rPr>
              <w:t>16. The local (interpretative) guide to visitor ratio is not greater than 1:5-10. (</w:t>
            </w:r>
            <w:r>
              <w:rPr>
                <w:rFonts w:ascii="Garamond" w:eastAsia="Garamond" w:hAnsi="Garamond" w:cs="Garamond"/>
                <w:i/>
              </w:rPr>
              <w:t>Assessors can ask community members not directly involved in the package about the average visitors groups’ size)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2573E5F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8008DB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84A7397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7B4118DB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132578CF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3781D4D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Standards for Tour Operators’ contributions to community and nature protection</w:t>
            </w:r>
          </w:p>
        </w:tc>
        <w:tc>
          <w:tcPr>
            <w:tcW w:w="31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208B571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3F827C2A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F985EFD" w14:textId="77777777" w:rsidR="004F4BE0" w:rsidRDefault="003917A3">
            <w:pPr>
              <w:pStyle w:val="normal0"/>
              <w:spacing w:line="276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17. TOs minimises motorized transportation, especially in CBT areas.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380D5D2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0979ED2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3B4CDB6" w14:textId="77777777" w:rsidR="004F4BE0" w:rsidRDefault="004F4BE0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A44767D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778BB832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BE24089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18. TOs take away all solid waste generated from packages it brings into the CBT area.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1D2831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FCC3FC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12F742DD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2CCD81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152A6B2D" w14:textId="77777777">
        <w:trPr>
          <w:trHeight w:val="7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6264EB0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19. TOs, staff and clients contribute to, or take part in, local development work (e.g., village projects, education, maintenance of local roads etc.).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6A58330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6A6ACB1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533BDD7D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3AACE06C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637ABF6D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75E4BF5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20. TOs explain codes of conduct to clients, emphasising the visitor’s responsibility to treat local people with respect, and avoid </w:t>
            </w:r>
            <w:r>
              <w:rPr>
                <w:rFonts w:ascii="Garamond" w:eastAsia="Garamond" w:hAnsi="Garamond" w:cs="Garamond"/>
              </w:rPr>
              <w:lastRenderedPageBreak/>
              <w:t xml:space="preserve">environmental damage.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794A8BC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Garamond" w:eastAsia="Garamond" w:hAnsi="Garamond" w:cs="Garamond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D19E6A6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5B24A8B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3E280FA" w14:textId="77777777" w:rsidR="004F4BE0" w:rsidRDefault="004F4BE0">
            <w:pPr>
              <w:pStyle w:val="normal0"/>
              <w:jc w:val="center"/>
              <w:rPr>
                <w:rFonts w:ascii="Garamond" w:eastAsia="Garamond" w:hAnsi="Garamond" w:cs="Garamond"/>
                <w:b/>
              </w:rPr>
            </w:pPr>
          </w:p>
        </w:tc>
      </w:tr>
      <w:tr w:rsidR="004F4BE0" w14:paraId="2ECF656E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70E92CF" w14:textId="77777777" w:rsidR="004F4BE0" w:rsidRDefault="003917A3">
            <w:pPr>
              <w:pStyle w:val="normal0"/>
              <w:spacing w:line="276" w:lineRule="auto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lastRenderedPageBreak/>
              <w:t xml:space="preserve">21. TO staff are trained in first aid, including CPR.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52303B7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B524857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EAE08AD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458F8ADF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465CF09A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572ED53" w14:textId="77777777" w:rsidR="004F4BE0" w:rsidRDefault="003917A3" w:rsidP="003917A3">
            <w:pPr>
              <w:pStyle w:val="normal0"/>
              <w:spacing w:line="276" w:lineRule="auto"/>
              <w:ind w:right="176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22. TOs are able to demonstrate their efforts in improving the quality of their operation through reporting of visitor satisfaction from client feedback surveys.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507641F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7989A02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045900AB" w14:textId="77777777" w:rsidR="004F4BE0" w:rsidRDefault="004F4BE0">
            <w:pPr>
              <w:pStyle w:val="normal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57B4D9A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14743630" w14:textId="77777777" w:rsidTr="003917A3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6870DBF" w14:textId="77777777" w:rsidR="004F4BE0" w:rsidRDefault="003917A3" w:rsidP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ind w:right="176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 xml:space="preserve">Total points 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627555E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E02D017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6CF5CD22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  <w:vAlign w:val="center"/>
          </w:tcPr>
          <w:p w14:paraId="2CCB75D5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4BE0" w14:paraId="5BFAC2A9" w14:textId="77777777" w:rsidTr="003917A3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94F7FB1" w14:textId="77777777" w:rsidR="004F4BE0" w:rsidRDefault="003917A3" w:rsidP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ind w:right="176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Maximum points</w:t>
            </w: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9E2823F" w14:textId="77777777" w:rsidR="004F4BE0" w:rsidRDefault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1AB4F4D" w14:textId="77777777" w:rsidR="004F4BE0" w:rsidRDefault="003917A3">
            <w:pPr>
              <w:pStyle w:val="normal0"/>
              <w:spacing w:line="276" w:lineRule="auto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340E2174" w14:textId="77777777" w:rsidR="004F4BE0" w:rsidRDefault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1D2628DF" w14:textId="77777777" w:rsidR="004F4BE0" w:rsidRDefault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22</w:t>
            </w:r>
          </w:p>
        </w:tc>
      </w:tr>
      <w:tr w:rsidR="004F4BE0" w14:paraId="6140F048" w14:textId="77777777" w:rsidTr="003917A3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E0AAA75" w14:textId="77777777" w:rsidR="004F4BE0" w:rsidRDefault="003917A3" w:rsidP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ind w:right="176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Rural package minimum points</w:t>
            </w:r>
          </w:p>
        </w:tc>
        <w:tc>
          <w:tcPr>
            <w:tcW w:w="31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A3A14E9" w14:textId="77777777" w:rsidR="004F4BE0" w:rsidRDefault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11</w:t>
            </w:r>
          </w:p>
        </w:tc>
      </w:tr>
      <w:tr w:rsidR="004F4BE0" w14:paraId="2FFE1488" w14:textId="77777777" w:rsidTr="003917A3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34ED87E" w14:textId="77777777" w:rsidR="004F4BE0" w:rsidRDefault="003917A3" w:rsidP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ind w:right="176"/>
              <w:jc w:val="right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Urban package minimum points</w:t>
            </w:r>
          </w:p>
        </w:tc>
        <w:tc>
          <w:tcPr>
            <w:tcW w:w="31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2D4278C" w14:textId="77777777" w:rsidR="004F4BE0" w:rsidRDefault="003917A3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</w:rPr>
              <w:t>13</w:t>
            </w:r>
          </w:p>
        </w:tc>
      </w:tr>
      <w:tr w:rsidR="004F4BE0" w14:paraId="4B1CF56A" w14:textId="77777777">
        <w:trPr>
          <w:trHeight w:val="400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6663BF" w14:textId="77777777" w:rsidR="004F4BE0" w:rsidRDefault="003917A3">
            <w:pPr>
              <w:pStyle w:val="normal0"/>
              <w:widowControl/>
              <w:rPr>
                <w:rFonts w:ascii="Garamond" w:eastAsia="Garamond" w:hAnsi="Garamond" w:cs="Garamond"/>
                <w:b/>
                <w:color w:val="00000A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Do the service providers respond to the ASTA Local Guide and Tour Operator sustainability criteria ? (Answer by YES or NO)</w:t>
            </w:r>
          </w:p>
        </w:tc>
        <w:tc>
          <w:tcPr>
            <w:tcW w:w="17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00D7506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spacing w:before="60" w:after="60"/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tcMar>
              <w:left w:w="98" w:type="dxa"/>
            </w:tcMar>
          </w:tcPr>
          <w:p w14:paraId="6F4F2A76" w14:textId="77777777" w:rsidR="004F4BE0" w:rsidRDefault="004F4BE0">
            <w:pPr>
              <w:pStyle w:val="normal0"/>
              <w:tabs>
                <w:tab w:val="left" w:pos="220"/>
                <w:tab w:val="left" w:pos="720"/>
              </w:tabs>
              <w:jc w:val="center"/>
              <w:rPr>
                <w:rFonts w:ascii="Garamond" w:eastAsia="Garamond" w:hAnsi="Garamond" w:cs="Garamond"/>
                <w:b/>
                <w:color w:val="00000A"/>
              </w:rPr>
            </w:pPr>
          </w:p>
        </w:tc>
      </w:tr>
    </w:tbl>
    <w:p w14:paraId="30FFC9C9" w14:textId="77777777" w:rsidR="004F4BE0" w:rsidRDefault="004F4BE0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5FECFB89" w14:textId="77777777" w:rsidR="004F4BE0" w:rsidRDefault="004F4BE0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217A969B" w14:textId="77777777" w:rsidR="004F4BE0" w:rsidRDefault="004F4BE0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  <w:bookmarkStart w:id="1" w:name="_GoBack"/>
      <w:bookmarkEnd w:id="1"/>
    </w:p>
    <w:p w14:paraId="76F077FF" w14:textId="77777777" w:rsidR="004F4BE0" w:rsidRDefault="004F4BE0">
      <w:pPr>
        <w:pStyle w:val="normal0"/>
        <w:widowControl/>
        <w:rPr>
          <w:rFonts w:ascii="Garamond" w:eastAsia="Garamond" w:hAnsi="Garamond" w:cs="Garamond"/>
          <w:color w:val="00000A"/>
          <w:sz w:val="20"/>
          <w:szCs w:val="20"/>
        </w:rPr>
      </w:pPr>
    </w:p>
    <w:p w14:paraId="02385A9E" w14:textId="77777777" w:rsidR="004F4BE0" w:rsidRDefault="004F4BE0">
      <w:pPr>
        <w:pStyle w:val="normal0"/>
        <w:widowControl/>
        <w:rPr>
          <w:rFonts w:ascii="Garamond" w:eastAsia="Garamond" w:hAnsi="Garamond" w:cs="Garamond"/>
          <w:b/>
          <w:color w:val="00000A"/>
          <w:sz w:val="20"/>
          <w:szCs w:val="20"/>
        </w:rPr>
      </w:pPr>
    </w:p>
    <w:tbl>
      <w:tblPr>
        <w:tblStyle w:val="a1"/>
        <w:tblW w:w="1008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720"/>
      </w:tblGrid>
      <w:tr w:rsidR="004F4BE0" w14:paraId="5249CED6" w14:textId="77777777">
        <w:trPr>
          <w:trHeight w:val="360"/>
        </w:trPr>
        <w:tc>
          <w:tcPr>
            <w:tcW w:w="10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left w:w="48" w:type="dxa"/>
            </w:tcMar>
          </w:tcPr>
          <w:p w14:paraId="46F8FEF1" w14:textId="77777777" w:rsidR="004F4BE0" w:rsidRDefault="003917A3">
            <w:pPr>
              <w:pStyle w:val="normal0"/>
              <w:widowControl/>
              <w:jc w:val="center"/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  <w:t>ASSESSOR COMMENTS</w:t>
            </w:r>
          </w:p>
          <w:p w14:paraId="59594F73" w14:textId="77777777" w:rsidR="004F4BE0" w:rsidRDefault="004F4BE0">
            <w:pPr>
              <w:pStyle w:val="normal0"/>
              <w:widowControl/>
              <w:jc w:val="center"/>
              <w:rPr>
                <w:rFonts w:ascii="Garamond" w:eastAsia="Garamond" w:hAnsi="Garamond" w:cs="Garamond"/>
                <w:b/>
                <w:color w:val="FFFFFF"/>
                <w:sz w:val="22"/>
                <w:szCs w:val="22"/>
              </w:rPr>
            </w:pPr>
          </w:p>
        </w:tc>
      </w:tr>
      <w:tr w:rsidR="004F4BE0" w14:paraId="6A519783" w14:textId="77777777">
        <w:trPr>
          <w:trHeight w:val="1534"/>
        </w:trPr>
        <w:tc>
          <w:tcPr>
            <w:tcW w:w="3360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7490BC55" w14:textId="77777777" w:rsidR="004F4BE0" w:rsidRDefault="003917A3">
            <w:pPr>
              <w:pStyle w:val="normal0"/>
              <w:widowControl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color w:val="00000A"/>
                <w:sz w:val="22"/>
                <w:szCs w:val="22"/>
              </w:rPr>
              <w:t>If it does not fully comply with the sustainability criteria, what should be improved ?</w:t>
            </w:r>
          </w:p>
        </w:tc>
        <w:tc>
          <w:tcPr>
            <w:tcW w:w="6720" w:type="dxa"/>
            <w:tcBorders>
              <w:top w:val="single" w:sz="4" w:space="0" w:color="FFFFFF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14:paraId="6F960BDA" w14:textId="77777777" w:rsidR="004F4BE0" w:rsidRDefault="004F4BE0">
            <w:pPr>
              <w:pStyle w:val="normal0"/>
              <w:widowControl/>
              <w:jc w:val="center"/>
              <w:rPr>
                <w:rFonts w:ascii="Garamond" w:eastAsia="Garamond" w:hAnsi="Garamond" w:cs="Garamond"/>
                <w:i/>
                <w:color w:val="FF0000"/>
                <w:sz w:val="22"/>
                <w:szCs w:val="22"/>
              </w:rPr>
            </w:pPr>
          </w:p>
        </w:tc>
      </w:tr>
    </w:tbl>
    <w:p w14:paraId="572E7D64" w14:textId="77777777" w:rsidR="004F4BE0" w:rsidRDefault="004F4BE0">
      <w:pPr>
        <w:pStyle w:val="normal0"/>
        <w:widowControl/>
        <w:jc w:val="center"/>
        <w:rPr>
          <w:rFonts w:ascii="Garamond" w:eastAsia="Garamond" w:hAnsi="Garamond" w:cs="Garamond"/>
          <w:color w:val="00000A"/>
          <w:sz w:val="20"/>
          <w:szCs w:val="20"/>
        </w:rPr>
      </w:pPr>
    </w:p>
    <w:p w14:paraId="2D8D4863" w14:textId="77777777" w:rsidR="004F4BE0" w:rsidRDefault="004F4BE0">
      <w:pPr>
        <w:pStyle w:val="normal0"/>
      </w:pPr>
    </w:p>
    <w:p w14:paraId="201EB663" w14:textId="77777777" w:rsidR="003917A3" w:rsidRDefault="003917A3"/>
    <w:sectPr w:rsidR="003917A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07672" w14:textId="77777777" w:rsidR="00000000" w:rsidRDefault="003917A3">
      <w:r>
        <w:separator/>
      </w:r>
    </w:p>
  </w:endnote>
  <w:endnote w:type="continuationSeparator" w:id="0">
    <w:p w14:paraId="20C12F9A" w14:textId="77777777" w:rsidR="00000000" w:rsidRDefault="0039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0429F" w14:textId="77777777" w:rsidR="004F4BE0" w:rsidRDefault="003917A3">
    <w:pPr>
      <w:pStyle w:val="normal0"/>
      <w:rPr>
        <w:i/>
        <w:sz w:val="20"/>
        <w:szCs w:val="20"/>
      </w:rPr>
    </w:pPr>
    <w:r>
      <w:rPr>
        <w:i/>
        <w:sz w:val="20"/>
        <w:szCs w:val="20"/>
      </w:rPr>
      <w:t>ASTA - Local Guide &amp; Tour Operator Assessment Form</w:t>
    </w:r>
  </w:p>
  <w:p w14:paraId="1FF8B4A4" w14:textId="77777777" w:rsidR="004F4BE0" w:rsidRDefault="003917A3" w:rsidP="003917A3">
    <w:pPr>
      <w:pStyle w:val="normal0"/>
      <w:jc w:val="right"/>
      <w:rPr>
        <w:i/>
        <w:sz w:val="20"/>
        <w:szCs w:val="20"/>
      </w:rPr>
    </w:pP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7C530" w14:textId="77777777" w:rsidR="00000000" w:rsidRDefault="003917A3">
      <w:r>
        <w:separator/>
      </w:r>
    </w:p>
  </w:footnote>
  <w:footnote w:type="continuationSeparator" w:id="0">
    <w:p w14:paraId="5736A830" w14:textId="77777777" w:rsidR="00000000" w:rsidRDefault="003917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BC83B" w14:textId="77777777" w:rsidR="004F4BE0" w:rsidRDefault="003917A3">
    <w:pPr>
      <w:pStyle w:val="normal0"/>
      <w:jc w:val="right"/>
    </w:pPr>
    <w:r>
      <w:rPr>
        <w:noProof/>
        <w:lang w:val="fr-FR"/>
      </w:rPr>
      <w:drawing>
        <wp:inline distT="114300" distB="114300" distL="114300" distR="114300" wp14:anchorId="52C554E3" wp14:editId="77567BA0">
          <wp:extent cx="2790230" cy="5191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230" cy="5191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4BE0"/>
    <w:rsid w:val="003917A3"/>
    <w:rsid w:val="004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652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ind w:left="720" w:hanging="360"/>
      <w:jc w:val="both"/>
      <w:outlineLvl w:val="0"/>
    </w:pPr>
    <w:rPr>
      <w:rFonts w:ascii="Garamond" w:eastAsia="Garamond" w:hAnsi="Garamond" w:cs="Garamond"/>
      <w:b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/>
      <w:ind w:left="792" w:hanging="432"/>
      <w:outlineLvl w:val="1"/>
    </w:pPr>
    <w:rPr>
      <w:rFonts w:ascii="Garamond" w:eastAsia="Garamond" w:hAnsi="Garamond" w:cs="Garamond"/>
      <w:b/>
      <w:color w:val="948A54"/>
      <w:u w:val="single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rFonts w:ascii="Garamond" w:eastAsia="Garamond" w:hAnsi="Garamond" w:cs="Garamond"/>
      <w:b/>
      <w:color w:val="6F6633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7A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7A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91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17A3"/>
  </w:style>
  <w:style w:type="paragraph" w:styleId="Pieddepage">
    <w:name w:val="footer"/>
    <w:basedOn w:val="Normal"/>
    <w:link w:val="PieddepageCar"/>
    <w:uiPriority w:val="99"/>
    <w:unhideWhenUsed/>
    <w:rsid w:val="00391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7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ind w:left="720" w:hanging="360"/>
      <w:jc w:val="both"/>
      <w:outlineLvl w:val="0"/>
    </w:pPr>
    <w:rPr>
      <w:rFonts w:ascii="Garamond" w:eastAsia="Garamond" w:hAnsi="Garamond" w:cs="Garamond"/>
      <w:b/>
      <w:color w:val="948A54"/>
      <w:sz w:val="32"/>
      <w:szCs w:val="32"/>
    </w:rPr>
  </w:style>
  <w:style w:type="paragraph" w:styleId="Titre2">
    <w:name w:val="heading 2"/>
    <w:basedOn w:val="normal0"/>
    <w:next w:val="normal0"/>
    <w:pPr>
      <w:keepNext/>
      <w:ind w:left="792" w:hanging="432"/>
      <w:outlineLvl w:val="1"/>
    </w:pPr>
    <w:rPr>
      <w:rFonts w:ascii="Garamond" w:eastAsia="Garamond" w:hAnsi="Garamond" w:cs="Garamond"/>
      <w:b/>
      <w:color w:val="948A54"/>
      <w:u w:val="single"/>
    </w:rPr>
  </w:style>
  <w:style w:type="paragraph" w:styleId="Titre3">
    <w:name w:val="heading 3"/>
    <w:basedOn w:val="normal0"/>
    <w:next w:val="normal0"/>
    <w:pPr>
      <w:keepNext/>
      <w:keepLines/>
      <w:spacing w:before="280" w:after="80"/>
      <w:outlineLvl w:val="2"/>
    </w:pPr>
    <w:rPr>
      <w:rFonts w:ascii="Garamond" w:eastAsia="Garamond" w:hAnsi="Garamond" w:cs="Garamond"/>
      <w:b/>
      <w:color w:val="6F6633"/>
    </w:rPr>
  </w:style>
  <w:style w:type="paragraph" w:styleId="Titre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7A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7A3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917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17A3"/>
  </w:style>
  <w:style w:type="paragraph" w:styleId="Pieddepage">
    <w:name w:val="footer"/>
    <w:basedOn w:val="Normal"/>
    <w:link w:val="PieddepageCar"/>
    <w:uiPriority w:val="99"/>
    <w:unhideWhenUsed/>
    <w:rsid w:val="003917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E6E349D7116498723393B56F86F82" ma:contentTypeVersion="3" ma:contentTypeDescription="Create a new document." ma:contentTypeScope="" ma:versionID="ef044529309f2b7b34e78dd42575a75d">
  <xsd:schema xmlns:xsd="http://www.w3.org/2001/XMLSchema" xmlns:xs="http://www.w3.org/2001/XMLSchema" xmlns:p="http://schemas.microsoft.com/office/2006/metadata/properties" xmlns:ns1="http://schemas.microsoft.com/sharepoint/v3" xmlns:ns2="2cf10e32-4f10-471b-9dc0-273480a17fce" targetNamespace="http://schemas.microsoft.com/office/2006/metadata/properties" ma:root="true" ma:fieldsID="0f0c8ae39b66d8cf9e1d144fa770ffdb" ns1:_="" ns2:_="">
    <xsd:import namespace="http://schemas.microsoft.com/sharepoint/v3"/>
    <xsd:import namespace="2cf10e32-4f10-471b-9dc0-273480a17f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0e32-4f10-471b-9dc0-273480a17fc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cf10e32-4f10-471b-9dc0-273480a17fce">R2WKNRE2VRMU-934185346-649</_dlc_DocId>
    <_dlc_DocIdUrl xmlns="2cf10e32-4f10-471b-9dc0-273480a17fce">
      <Url>http://tourism.gov.bn/_layouts/15/DocIdRedir.aspx?ID=R2WKNRE2VRMU-934185346-649</Url>
      <Description>R2WKNRE2VRMU-934185346-649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72D7075-9FD1-45A9-9DE8-05D1527EF5AC}"/>
</file>

<file path=customXml/itemProps2.xml><?xml version="1.0" encoding="utf-8"?>
<ds:datastoreItem xmlns:ds="http://schemas.openxmlformats.org/officeDocument/2006/customXml" ds:itemID="{B198A084-386F-43A7-9A69-2E761B586B7F}"/>
</file>

<file path=customXml/itemProps3.xml><?xml version="1.0" encoding="utf-8"?>
<ds:datastoreItem xmlns:ds="http://schemas.openxmlformats.org/officeDocument/2006/customXml" ds:itemID="{98F773B8-F67B-4D06-9C7B-ACC7F29B8F01}"/>
</file>

<file path=customXml/itemProps4.xml><?xml version="1.0" encoding="utf-8"?>
<ds:datastoreItem xmlns:ds="http://schemas.openxmlformats.org/officeDocument/2006/customXml" ds:itemID="{631B80C7-EEF8-4E70-A9E1-686C323245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4444</Characters>
  <Application>Microsoft Macintosh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FTTourism</cp:lastModifiedBy>
  <cp:revision>2</cp:revision>
  <dcterms:created xsi:type="dcterms:W3CDTF">2021-07-19T15:17:00Z</dcterms:created>
  <dcterms:modified xsi:type="dcterms:W3CDTF">2021-07-19T15:23:00Z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0x010100DACE6E349D7116498723393B56F86F82</vt:lpwstr>
  </property>
  <property fmtid="{D5CDD505-2E9C-101B-9397-08002B2CF9AE}" pid="3" name="_dlc_DocIdItemGuid">
    <vt:lpwstr>9cf713fb-f95f-45d7-a054-903fc11f6e71</vt:lpwstr>
  </property>
</Properties>
</file>